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47BC4" w14:textId="6076D6EF" w:rsidR="00A730D5" w:rsidRDefault="00BC3E09" w:rsidP="00BC3E09">
      <w:pPr>
        <w:jc w:val="both"/>
      </w:pPr>
      <w:r>
        <w:fldChar w:fldCharType="begin"/>
      </w:r>
      <w:r>
        <w:instrText>HYPERLINK "</w:instrText>
      </w:r>
      <w:r w:rsidRPr="00BC3E09">
        <w:instrText>https://www.tse.go.cr/pdf/normativa/codigoelectoral.pdf</w:instrText>
      </w:r>
      <w:r>
        <w:instrText>"</w:instrText>
      </w:r>
      <w:r>
        <w:fldChar w:fldCharType="separate"/>
      </w:r>
      <w:r w:rsidRPr="00573757">
        <w:rPr>
          <w:rStyle w:val="Hipervnculo"/>
        </w:rPr>
        <w:t>https://www.tse.go.cr/pdf/normativa/codigoelectoral.pdf</w:t>
      </w:r>
      <w:r>
        <w:fldChar w:fldCharType="end"/>
      </w:r>
    </w:p>
    <w:p w14:paraId="49FC7D1B" w14:textId="0DFF2E66" w:rsidR="00BC3E09" w:rsidRDefault="00BC3E09" w:rsidP="00BC3E09">
      <w:pPr>
        <w:jc w:val="both"/>
      </w:pPr>
      <w:r>
        <w:t xml:space="preserve"> </w:t>
      </w:r>
    </w:p>
    <w:p w14:paraId="13DAC11B" w14:textId="77777777" w:rsidR="00BC3E09" w:rsidRPr="00BC3E09" w:rsidRDefault="00BC3E09" w:rsidP="00BC3E09">
      <w:pPr>
        <w:jc w:val="center"/>
      </w:pPr>
      <w:r w:rsidRPr="00BC3E09">
        <w:rPr>
          <w:b/>
          <w:bCs/>
          <w:lang w:val="es-ES_tradnl"/>
        </w:rPr>
        <w:t>CAPÍTULO VIII</w:t>
      </w:r>
    </w:p>
    <w:p w14:paraId="4A2EE906" w14:textId="77777777" w:rsidR="00BC3E09" w:rsidRPr="00BC3E09" w:rsidRDefault="00BC3E09" w:rsidP="00BC3E09">
      <w:pPr>
        <w:jc w:val="both"/>
      </w:pPr>
    </w:p>
    <w:p w14:paraId="04AE5836" w14:textId="77777777" w:rsidR="00BC3E09" w:rsidRPr="00BC3E09" w:rsidRDefault="00BC3E09" w:rsidP="00BC3E09">
      <w:pPr>
        <w:jc w:val="both"/>
      </w:pPr>
      <w:r w:rsidRPr="00BC3E09">
        <w:rPr>
          <w:b/>
          <w:bCs/>
          <w:lang w:val="es-ES_tradnl"/>
        </w:rPr>
        <w:t>DENUNCIA POR PARCIALIDAD O BELIGERANCIA POLÍTICA</w:t>
      </w:r>
    </w:p>
    <w:p w14:paraId="2F7AB89B" w14:textId="77777777" w:rsidR="00BC3E09" w:rsidRPr="00BC3E09" w:rsidRDefault="00BC3E09" w:rsidP="00BC3E09">
      <w:pPr>
        <w:jc w:val="both"/>
      </w:pPr>
    </w:p>
    <w:p w14:paraId="4B09EEAE" w14:textId="1ECD3DD7" w:rsidR="00BC3E09" w:rsidRPr="00BC3E09" w:rsidRDefault="00BC3E09" w:rsidP="00BC3E09">
      <w:pPr>
        <w:jc w:val="both"/>
      </w:pPr>
      <w:r w:rsidRPr="00BC3E09">
        <w:rPr>
          <w:b/>
          <w:bCs/>
          <w:lang w:val="es-ES_tradnl"/>
        </w:rPr>
        <w:t> ARTÍCULO 265.- Competencia</w:t>
      </w:r>
    </w:p>
    <w:p w14:paraId="13AB9B53" w14:textId="77777777" w:rsidR="00BC3E09" w:rsidRPr="00BC3E09" w:rsidRDefault="00BC3E09" w:rsidP="00BC3E09">
      <w:pPr>
        <w:jc w:val="both"/>
      </w:pPr>
      <w:r w:rsidRPr="00BC3E09">
        <w:rPr>
          <w:lang w:val="es-ES_tradnl"/>
        </w:rPr>
        <w:t>Las denuncias concernientes a parcialidad política de los servidores del Estado en el ejercicio de sus cargos, o por la participación en actividades político-electorales de funcionarios públicos a quienes les esté prohibido ejercerlas, se formularán ante el TSE.</w:t>
      </w:r>
    </w:p>
    <w:p w14:paraId="27D95027" w14:textId="77777777" w:rsidR="00BC3E09" w:rsidRDefault="00BC3E09" w:rsidP="00BC3E09">
      <w:pPr>
        <w:jc w:val="both"/>
        <w:rPr>
          <w:b/>
          <w:bCs/>
          <w:lang w:val="es-ES_tradnl"/>
        </w:rPr>
      </w:pPr>
    </w:p>
    <w:p w14:paraId="6B5B4AB0" w14:textId="5B0D49E9" w:rsidR="00BC3E09" w:rsidRPr="00BC3E09" w:rsidRDefault="00BC3E09" w:rsidP="00BC3E09">
      <w:pPr>
        <w:jc w:val="both"/>
      </w:pPr>
      <w:r w:rsidRPr="00BC3E09">
        <w:rPr>
          <w:b/>
          <w:bCs/>
          <w:lang w:val="es-ES_tradnl"/>
        </w:rPr>
        <w:t>ARTÍCULO 266.- Legitimación</w:t>
      </w:r>
    </w:p>
    <w:p w14:paraId="3681F5BD" w14:textId="77777777" w:rsidR="00BC3E09" w:rsidRPr="00BC3E09" w:rsidRDefault="00BC3E09" w:rsidP="00BC3E09">
      <w:pPr>
        <w:jc w:val="both"/>
      </w:pPr>
      <w:r w:rsidRPr="00BC3E09">
        <w:rPr>
          <w:lang w:val="es-ES_tradnl"/>
        </w:rPr>
        <w:t>El procedimiento se iniciará a instancia de un partido político o por denuncia de cualquier persona física que tenga conocimiento de tales hechos. No se dará curso a denuncias anónimas.</w:t>
      </w:r>
    </w:p>
    <w:p w14:paraId="71217ACC" w14:textId="77777777" w:rsidR="00BC3E09" w:rsidRPr="00BC3E09" w:rsidRDefault="00BC3E09" w:rsidP="00BC3E09">
      <w:pPr>
        <w:jc w:val="both"/>
      </w:pPr>
      <w:r w:rsidRPr="00BC3E09">
        <w:rPr>
          <w:b/>
          <w:bCs/>
          <w:lang w:val="es-ES_tradnl"/>
        </w:rPr>
        <w:t>ARTÍCULO 267.- Requisitos de la denuncia</w:t>
      </w:r>
    </w:p>
    <w:p w14:paraId="7E394DBE" w14:textId="77777777" w:rsidR="00BC3E09" w:rsidRPr="00BC3E09" w:rsidRDefault="00BC3E09" w:rsidP="00BC3E09">
      <w:pPr>
        <w:jc w:val="both"/>
      </w:pPr>
      <w:r w:rsidRPr="00BC3E09">
        <w:t xml:space="preserve">La denuncia deberá presentarse por escrito, </w:t>
      </w:r>
      <w:proofErr w:type="gramStart"/>
      <w:r w:rsidRPr="00BC3E09">
        <w:t>personalmente o debidamente</w:t>
      </w:r>
      <w:proofErr w:type="gramEnd"/>
      <w:r w:rsidRPr="00BC3E09">
        <w:t xml:space="preserve"> autenticada por abogado, salvo las </w:t>
      </w:r>
      <w:proofErr w:type="gramStart"/>
      <w:r w:rsidRPr="00BC3E09">
        <w:t>autoridades públicas</w:t>
      </w:r>
      <w:proofErr w:type="gramEnd"/>
      <w:r w:rsidRPr="00BC3E09">
        <w:t xml:space="preserve"> y los personeros de los partidos políticos, a quienes, en caso de que no presenten la denuncia personalmente, no se les exigirá la autenticación de sus firmas. La denuncia contendrá lo siguiente:</w:t>
      </w:r>
    </w:p>
    <w:p w14:paraId="7129A6A0" w14:textId="77777777" w:rsidR="00BC3E09" w:rsidRDefault="00BC3E09" w:rsidP="00BC3E09">
      <w:pPr>
        <w:jc w:val="both"/>
        <w:rPr>
          <w:b/>
          <w:bCs/>
          <w:lang w:val="es-ES_tradnl"/>
        </w:rPr>
      </w:pPr>
    </w:p>
    <w:p w14:paraId="7BFE97E2" w14:textId="4A63C92D" w:rsidR="00BC3E09" w:rsidRPr="00BC3E09" w:rsidRDefault="00BC3E09" w:rsidP="00BC3E09">
      <w:pPr>
        <w:jc w:val="both"/>
      </w:pPr>
      <w:r w:rsidRPr="00BC3E09">
        <w:rPr>
          <w:b/>
          <w:bCs/>
          <w:lang w:val="es-ES_tradnl"/>
        </w:rPr>
        <w:t>a)</w:t>
      </w:r>
      <w:r w:rsidRPr="00BC3E09">
        <w:rPr>
          <w:lang w:val="es-ES_tradnl"/>
        </w:rPr>
        <w:t> El nombre y las calidades del denunciante.</w:t>
      </w:r>
    </w:p>
    <w:p w14:paraId="7115A585" w14:textId="77777777" w:rsidR="00BC3E09" w:rsidRPr="00BC3E09" w:rsidRDefault="00BC3E09" w:rsidP="00BC3E09">
      <w:pPr>
        <w:jc w:val="both"/>
      </w:pPr>
    </w:p>
    <w:p w14:paraId="667BD939" w14:textId="77777777" w:rsidR="00BC3E09" w:rsidRPr="00BC3E09" w:rsidRDefault="00BC3E09" w:rsidP="00BC3E09">
      <w:pPr>
        <w:jc w:val="both"/>
      </w:pPr>
      <w:r w:rsidRPr="00BC3E09">
        <w:rPr>
          <w:b/>
          <w:bCs/>
          <w:lang w:val="es-ES_tradnl"/>
        </w:rPr>
        <w:t>b)</w:t>
      </w:r>
      <w:r w:rsidRPr="00BC3E09">
        <w:rPr>
          <w:lang w:val="es-ES_tradnl"/>
        </w:rPr>
        <w:t> Una relación clara, precisa y circunstanciada del hecho o los hechos que sustentan la denuncia; se indicará el lugar, el día y la hora en que ocurrieron.</w:t>
      </w:r>
    </w:p>
    <w:p w14:paraId="38494DED" w14:textId="77777777" w:rsidR="00BC3E09" w:rsidRPr="00BC3E09" w:rsidRDefault="00BC3E09" w:rsidP="00BC3E09">
      <w:pPr>
        <w:jc w:val="both"/>
      </w:pPr>
    </w:p>
    <w:p w14:paraId="6F3F5E5A" w14:textId="77777777" w:rsidR="00BC3E09" w:rsidRPr="00BC3E09" w:rsidRDefault="00BC3E09" w:rsidP="00BC3E09">
      <w:pPr>
        <w:jc w:val="both"/>
      </w:pPr>
      <w:r w:rsidRPr="00BC3E09">
        <w:rPr>
          <w:b/>
          <w:bCs/>
          <w:lang w:val="es-ES_tradnl"/>
        </w:rPr>
        <w:t>c)</w:t>
      </w:r>
      <w:r w:rsidRPr="00BC3E09">
        <w:rPr>
          <w:lang w:val="es-ES_tradnl"/>
        </w:rPr>
        <w:t> El nombre de la persona o las personas a quienes se atribuyen los hechos, el cargo que ejerce y el lugar en que pueden ser notificadas, este último si lo conoce.</w:t>
      </w:r>
    </w:p>
    <w:p w14:paraId="6D139A0E" w14:textId="77777777" w:rsidR="00BC3E09" w:rsidRPr="00BC3E09" w:rsidRDefault="00BC3E09" w:rsidP="00BC3E09">
      <w:pPr>
        <w:jc w:val="both"/>
      </w:pPr>
    </w:p>
    <w:p w14:paraId="2409F290" w14:textId="77777777" w:rsidR="00BC3E09" w:rsidRPr="00BC3E09" w:rsidRDefault="00BC3E09" w:rsidP="00BC3E09">
      <w:pPr>
        <w:jc w:val="both"/>
      </w:pPr>
      <w:r w:rsidRPr="00BC3E09">
        <w:rPr>
          <w:b/>
          <w:bCs/>
          <w:lang w:val="es-ES_tradnl"/>
        </w:rPr>
        <w:t>d)</w:t>
      </w:r>
      <w:r w:rsidRPr="00BC3E09">
        <w:rPr>
          <w:lang w:val="es-ES_tradnl"/>
        </w:rPr>
        <w:t> Los nombres de los testigos, si los hay, así como sus respectivos domicilios, si el denunciante los conoce.</w:t>
      </w:r>
    </w:p>
    <w:p w14:paraId="2CAB524F" w14:textId="77777777" w:rsidR="00BC3E09" w:rsidRPr="00BC3E09" w:rsidRDefault="00BC3E09" w:rsidP="00BC3E09">
      <w:pPr>
        <w:jc w:val="both"/>
      </w:pPr>
    </w:p>
    <w:p w14:paraId="43816BED" w14:textId="77777777" w:rsidR="00BC3E09" w:rsidRPr="00BC3E09" w:rsidRDefault="00BC3E09" w:rsidP="00BC3E09">
      <w:pPr>
        <w:jc w:val="both"/>
      </w:pPr>
      <w:r w:rsidRPr="00BC3E09">
        <w:rPr>
          <w:b/>
          <w:bCs/>
          <w:lang w:val="es-ES_tradnl"/>
        </w:rPr>
        <w:lastRenderedPageBreak/>
        <w:t>e)</w:t>
      </w:r>
      <w:r w:rsidRPr="00BC3E09">
        <w:rPr>
          <w:lang w:val="es-ES_tradnl"/>
        </w:rPr>
        <w:t> Las demás circunstancias que sirvan para comprobar los hechos y apreciar su naturaleza.</w:t>
      </w:r>
    </w:p>
    <w:p w14:paraId="57164B06" w14:textId="77777777" w:rsidR="00BC3E09" w:rsidRPr="00BC3E09" w:rsidRDefault="00BC3E09" w:rsidP="00BC3E09">
      <w:pPr>
        <w:jc w:val="both"/>
      </w:pPr>
    </w:p>
    <w:p w14:paraId="0D48FC8D" w14:textId="77777777" w:rsidR="00BC3E09" w:rsidRPr="00BC3E09" w:rsidRDefault="00BC3E09" w:rsidP="00BC3E09">
      <w:pPr>
        <w:jc w:val="both"/>
      </w:pPr>
      <w:r w:rsidRPr="00BC3E09">
        <w:rPr>
          <w:b/>
          <w:bCs/>
          <w:lang w:val="es-ES_tradnl"/>
        </w:rPr>
        <w:t>f)</w:t>
      </w:r>
      <w:r w:rsidRPr="00BC3E09">
        <w:rPr>
          <w:lang w:val="es-ES_tradnl"/>
        </w:rPr>
        <w:t>  Los documentos o cualquier otro medio de prueba que se estimen convenientes para el esclarecimiento de lo sucedido. Si el solicitante no tiene a su disposición los documentos conducentes, indicará la oficina pública o el lugar en que se encuentran.</w:t>
      </w:r>
    </w:p>
    <w:p w14:paraId="440D58C2" w14:textId="77777777" w:rsidR="00BC3E09" w:rsidRPr="00BC3E09" w:rsidRDefault="00BC3E09" w:rsidP="00BC3E09">
      <w:pPr>
        <w:jc w:val="both"/>
      </w:pPr>
    </w:p>
    <w:p w14:paraId="4F12D268" w14:textId="77777777" w:rsidR="00BC3E09" w:rsidRPr="00BC3E09" w:rsidRDefault="00BC3E09" w:rsidP="00BC3E09">
      <w:pPr>
        <w:jc w:val="both"/>
      </w:pPr>
      <w:r w:rsidRPr="00BC3E09">
        <w:rPr>
          <w:b/>
          <w:bCs/>
          <w:lang w:val="es-ES_tradnl"/>
        </w:rPr>
        <w:t>g) </w:t>
      </w:r>
      <w:r w:rsidRPr="00BC3E09">
        <w:rPr>
          <w:lang w:val="es-ES_tradnl"/>
        </w:rPr>
        <w:t>El lugar o el medio para recibir notificaciones.</w:t>
      </w:r>
    </w:p>
    <w:p w14:paraId="201EC802" w14:textId="77777777" w:rsidR="00BC3E09" w:rsidRPr="00BC3E09" w:rsidRDefault="00BC3E09" w:rsidP="00BC3E09">
      <w:pPr>
        <w:jc w:val="both"/>
      </w:pPr>
    </w:p>
    <w:p w14:paraId="57EBC19A" w14:textId="77777777" w:rsidR="00BC3E09" w:rsidRPr="00BC3E09" w:rsidRDefault="00BC3E09" w:rsidP="00BC3E09">
      <w:pPr>
        <w:jc w:val="both"/>
      </w:pPr>
      <w:r w:rsidRPr="00BC3E09">
        <w:rPr>
          <w:b/>
          <w:bCs/>
          <w:lang w:val="es-ES_tradnl"/>
        </w:rPr>
        <w:t>h)</w:t>
      </w:r>
      <w:r w:rsidRPr="00BC3E09">
        <w:rPr>
          <w:lang w:val="es-ES_tradnl"/>
        </w:rPr>
        <w:t> La fecha y la firma.</w:t>
      </w:r>
    </w:p>
    <w:p w14:paraId="7FE2BF3D" w14:textId="21D9688C" w:rsidR="00BC3E09" w:rsidRPr="00BC3E09" w:rsidRDefault="00BC3E09" w:rsidP="00BC3E09">
      <w:pPr>
        <w:jc w:val="both"/>
      </w:pPr>
    </w:p>
    <w:p w14:paraId="38CF766E" w14:textId="77777777" w:rsidR="00BC3E09" w:rsidRPr="00BC3E09" w:rsidRDefault="00BC3E09" w:rsidP="00BC3E09">
      <w:pPr>
        <w:jc w:val="both"/>
      </w:pPr>
      <w:r w:rsidRPr="00BC3E09">
        <w:rPr>
          <w:b/>
          <w:bCs/>
          <w:lang w:val="es-ES_tradnl"/>
        </w:rPr>
        <w:t>ARTÍCULO 268.- Admisibilidad</w:t>
      </w:r>
    </w:p>
    <w:p w14:paraId="1CF1E27A" w14:textId="77777777" w:rsidR="00BC3E09" w:rsidRPr="00BC3E09" w:rsidRDefault="00BC3E09" w:rsidP="00BC3E09">
      <w:pPr>
        <w:jc w:val="both"/>
      </w:pPr>
      <w:r w:rsidRPr="00BC3E09">
        <w:rPr>
          <w:lang w:val="es-ES_tradnl"/>
        </w:rPr>
        <w:t>El Tribunal rechazará, de plano, la denuncia cuando sea manifiestamente improcedente.</w:t>
      </w:r>
    </w:p>
    <w:p w14:paraId="65787066" w14:textId="754C29B8" w:rsidR="00BC3E09" w:rsidRPr="00BC3E09" w:rsidRDefault="00BC3E09" w:rsidP="00BC3E09">
      <w:pPr>
        <w:jc w:val="both"/>
      </w:pPr>
    </w:p>
    <w:p w14:paraId="587CF270" w14:textId="77777777" w:rsidR="00BC3E09" w:rsidRPr="00BC3E09" w:rsidRDefault="00BC3E09" w:rsidP="00BC3E09">
      <w:pPr>
        <w:jc w:val="both"/>
      </w:pPr>
      <w:r w:rsidRPr="00BC3E09">
        <w:rPr>
          <w:b/>
          <w:bCs/>
        </w:rPr>
        <w:t>ARTÍCULO 269.- Procedimiento.</w:t>
      </w:r>
      <w:r w:rsidRPr="00BC3E09">
        <w:t xml:space="preserve"> Admitida la denuncia para su conocimiento, el Tribunal la trasladará a la Inspección Electoral, la cual actuará como órgano director del procedimiento. Para estos efectos se procederá según lo establecido en el procedimiento administrativo ordinario regulado en la Ley general de la Administración Pública. Una vez concluida la investigación, la Inspección Electoral trasladará el expediente al </w:t>
      </w:r>
      <w:proofErr w:type="gramStart"/>
      <w:r w:rsidRPr="00BC3E09">
        <w:t>Tribunal,  para</w:t>
      </w:r>
      <w:proofErr w:type="gramEnd"/>
      <w:r w:rsidRPr="00BC3E09">
        <w:t xml:space="preserve"> su resolución.</w:t>
      </w:r>
    </w:p>
    <w:p w14:paraId="233057A5" w14:textId="77777777" w:rsidR="00BC3E09" w:rsidRPr="00BC3E09" w:rsidRDefault="00BC3E09" w:rsidP="00BC3E09">
      <w:pPr>
        <w:jc w:val="both"/>
      </w:pPr>
      <w:r w:rsidRPr="00BC3E09">
        <w:t>El Tribunal también podrá ordenar, para efectos de determinar el mérito de la apertura del procedimiento administrativo ordinario, a la Inspección Electoral la instrucción de una investigación administrativa preliminar. Concluida dicha investigación, el Tribunal podrá archivar la denuncia o proceder conforme al párrafo primero de este artículo.</w:t>
      </w:r>
    </w:p>
    <w:p w14:paraId="7C54CD91" w14:textId="77777777" w:rsidR="00BC3E09" w:rsidRDefault="00BC3E09" w:rsidP="00BC3E09">
      <w:pPr>
        <w:jc w:val="both"/>
        <w:rPr>
          <w:b/>
          <w:bCs/>
        </w:rPr>
      </w:pPr>
    </w:p>
    <w:p w14:paraId="4AE46C37" w14:textId="19340948" w:rsidR="00BC3E09" w:rsidRPr="00BC3E09" w:rsidRDefault="00BC3E09" w:rsidP="00BC3E09">
      <w:pPr>
        <w:jc w:val="both"/>
      </w:pPr>
      <w:r w:rsidRPr="00BC3E09">
        <w:rPr>
          <w:b/>
          <w:bCs/>
        </w:rPr>
        <w:t>ARTÍCULO 270.- Levantamiento de la inmunidad</w:t>
      </w:r>
    </w:p>
    <w:p w14:paraId="1B738D03" w14:textId="77777777" w:rsidR="00BC3E09" w:rsidRPr="00BC3E09" w:rsidRDefault="00BC3E09" w:rsidP="00BC3E09">
      <w:pPr>
        <w:jc w:val="both"/>
      </w:pPr>
      <w:r w:rsidRPr="00BC3E09">
        <w:t>Si la denuncia contiene cargos contra el presidente, vicepresidentes, ministros(as) de Gobierno, ministros(as) diplomáticos(as), contralor(a) y subcontralor(a) generales de la República, magistrados(as) de la Corte Suprema de Justicia, </w:t>
      </w:r>
      <w:r w:rsidRPr="00BC3E09">
        <w:rPr>
          <w:lang w:val="es-ES_tradnl"/>
        </w:rPr>
        <w:t>o cualquier otro funcionario que por ley goce de inmunidad, el Tribunal se concretará a valorar la admisibilidad de la denuncia y, si lo estima necesario, a ordenar a la Inspección Electoral la instrucción de una investigación preliminar.</w:t>
      </w:r>
    </w:p>
    <w:p w14:paraId="3AF5645D" w14:textId="77777777" w:rsidR="00BC3E09" w:rsidRPr="00BC3E09" w:rsidRDefault="00BC3E09" w:rsidP="00BC3E09">
      <w:pPr>
        <w:jc w:val="both"/>
      </w:pPr>
      <w:r w:rsidRPr="00BC3E09">
        <w:br/>
      </w:r>
    </w:p>
    <w:p w14:paraId="73180711" w14:textId="77777777" w:rsidR="00BC3E09" w:rsidRPr="00BC3E09" w:rsidRDefault="00BC3E09" w:rsidP="00BC3E09">
      <w:pPr>
        <w:jc w:val="both"/>
      </w:pPr>
      <w:r w:rsidRPr="00BC3E09">
        <w:rPr>
          <w:lang w:val="es-ES_tradnl"/>
        </w:rPr>
        <w:t>En caso de que no proceda rechazar, de plano, la denuncia planteada ni ordenar su archivo, el Tribunal trasladará la denuncia a la Asamblea Legislativa para que realice el proceso de levantamiento de la inmunidad establecido constitucionalmente.</w:t>
      </w:r>
    </w:p>
    <w:p w14:paraId="13386E7D" w14:textId="77777777" w:rsidR="00BC3E09" w:rsidRPr="00BC3E09" w:rsidRDefault="00BC3E09" w:rsidP="00BC3E09">
      <w:pPr>
        <w:jc w:val="both"/>
      </w:pPr>
      <w:r w:rsidRPr="00BC3E09">
        <w:rPr>
          <w:lang w:val="es-ES_tradnl"/>
        </w:rPr>
        <w:t>Si el titular de la inmunidad renuncia a ella para someterse voluntariamente al procedimiento, el Tribunal resolverá según corresponda.</w:t>
      </w:r>
    </w:p>
    <w:p w14:paraId="514C8E56" w14:textId="77777777" w:rsidR="00BC3E09" w:rsidRDefault="00BC3E09" w:rsidP="00BC3E09">
      <w:pPr>
        <w:jc w:val="both"/>
      </w:pPr>
    </w:p>
    <w:p w14:paraId="12D3D536" w14:textId="2AA8B5E0" w:rsidR="00BC3E09" w:rsidRDefault="00BC3E09" w:rsidP="00BC3E09">
      <w:pPr>
        <w:jc w:val="both"/>
      </w:pPr>
    </w:p>
    <w:sectPr w:rsidR="00BC3E0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E09"/>
    <w:rsid w:val="003B64B7"/>
    <w:rsid w:val="008A3AA2"/>
    <w:rsid w:val="00A730D5"/>
    <w:rsid w:val="00BC3E09"/>
    <w:rsid w:val="00D4595B"/>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2E5AA"/>
  <w15:chartTrackingRefBased/>
  <w15:docId w15:val="{C4E0C840-C363-4ADE-8DDB-7191E664D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C3E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C3E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C3E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C3E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C3E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C3E0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C3E0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C3E0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C3E0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C3E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C3E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C3E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C3E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C3E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C3E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C3E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C3E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C3E09"/>
    <w:rPr>
      <w:rFonts w:eastAsiaTheme="majorEastAsia" w:cstheme="majorBidi"/>
      <w:color w:val="272727" w:themeColor="text1" w:themeTint="D8"/>
    </w:rPr>
  </w:style>
  <w:style w:type="paragraph" w:styleId="Ttulo">
    <w:name w:val="Title"/>
    <w:basedOn w:val="Normal"/>
    <w:next w:val="Normal"/>
    <w:link w:val="TtuloCar"/>
    <w:uiPriority w:val="10"/>
    <w:qFormat/>
    <w:rsid w:val="00BC3E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C3E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C3E0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C3E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C3E09"/>
    <w:pPr>
      <w:spacing w:before="160"/>
      <w:jc w:val="center"/>
    </w:pPr>
    <w:rPr>
      <w:i/>
      <w:iCs/>
      <w:color w:val="404040" w:themeColor="text1" w:themeTint="BF"/>
    </w:rPr>
  </w:style>
  <w:style w:type="character" w:customStyle="1" w:styleId="CitaCar">
    <w:name w:val="Cita Car"/>
    <w:basedOn w:val="Fuentedeprrafopredeter"/>
    <w:link w:val="Cita"/>
    <w:uiPriority w:val="29"/>
    <w:rsid w:val="00BC3E09"/>
    <w:rPr>
      <w:i/>
      <w:iCs/>
      <w:color w:val="404040" w:themeColor="text1" w:themeTint="BF"/>
    </w:rPr>
  </w:style>
  <w:style w:type="paragraph" w:styleId="Prrafodelista">
    <w:name w:val="List Paragraph"/>
    <w:basedOn w:val="Normal"/>
    <w:uiPriority w:val="34"/>
    <w:qFormat/>
    <w:rsid w:val="00BC3E09"/>
    <w:pPr>
      <w:ind w:left="720"/>
      <w:contextualSpacing/>
    </w:pPr>
  </w:style>
  <w:style w:type="character" w:styleId="nfasisintenso">
    <w:name w:val="Intense Emphasis"/>
    <w:basedOn w:val="Fuentedeprrafopredeter"/>
    <w:uiPriority w:val="21"/>
    <w:qFormat/>
    <w:rsid w:val="00BC3E09"/>
    <w:rPr>
      <w:i/>
      <w:iCs/>
      <w:color w:val="0F4761" w:themeColor="accent1" w:themeShade="BF"/>
    </w:rPr>
  </w:style>
  <w:style w:type="paragraph" w:styleId="Citadestacada">
    <w:name w:val="Intense Quote"/>
    <w:basedOn w:val="Normal"/>
    <w:next w:val="Normal"/>
    <w:link w:val="CitadestacadaCar"/>
    <w:uiPriority w:val="30"/>
    <w:qFormat/>
    <w:rsid w:val="00BC3E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C3E09"/>
    <w:rPr>
      <w:i/>
      <w:iCs/>
      <w:color w:val="0F4761" w:themeColor="accent1" w:themeShade="BF"/>
    </w:rPr>
  </w:style>
  <w:style w:type="character" w:styleId="Referenciaintensa">
    <w:name w:val="Intense Reference"/>
    <w:basedOn w:val="Fuentedeprrafopredeter"/>
    <w:uiPriority w:val="32"/>
    <w:qFormat/>
    <w:rsid w:val="00BC3E09"/>
    <w:rPr>
      <w:b/>
      <w:bCs/>
      <w:smallCaps/>
      <w:color w:val="0F4761" w:themeColor="accent1" w:themeShade="BF"/>
      <w:spacing w:val="5"/>
    </w:rPr>
  </w:style>
  <w:style w:type="character" w:styleId="Hipervnculo">
    <w:name w:val="Hyperlink"/>
    <w:basedOn w:val="Fuentedeprrafopredeter"/>
    <w:uiPriority w:val="99"/>
    <w:unhideWhenUsed/>
    <w:rsid w:val="00BC3E09"/>
    <w:rPr>
      <w:color w:val="467886" w:themeColor="hyperlink"/>
      <w:u w:val="single"/>
    </w:rPr>
  </w:style>
  <w:style w:type="character" w:styleId="Mencinsinresolver">
    <w:name w:val="Unresolved Mention"/>
    <w:basedOn w:val="Fuentedeprrafopredeter"/>
    <w:uiPriority w:val="99"/>
    <w:semiHidden/>
    <w:unhideWhenUsed/>
    <w:rsid w:val="00BC3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4462">
      <w:bodyDiv w:val="1"/>
      <w:marLeft w:val="0"/>
      <w:marRight w:val="0"/>
      <w:marTop w:val="0"/>
      <w:marBottom w:val="0"/>
      <w:divBdr>
        <w:top w:val="none" w:sz="0" w:space="0" w:color="auto"/>
        <w:left w:val="none" w:sz="0" w:space="0" w:color="auto"/>
        <w:bottom w:val="none" w:sz="0" w:space="0" w:color="auto"/>
        <w:right w:val="none" w:sz="0" w:space="0" w:color="auto"/>
      </w:divBdr>
      <w:divsChild>
        <w:div w:id="491486931">
          <w:marLeft w:val="0"/>
          <w:marRight w:val="0"/>
          <w:marTop w:val="0"/>
          <w:marBottom w:val="0"/>
          <w:divBdr>
            <w:top w:val="none" w:sz="0" w:space="0" w:color="auto"/>
            <w:left w:val="none" w:sz="0" w:space="0" w:color="auto"/>
            <w:bottom w:val="none" w:sz="0" w:space="0" w:color="auto"/>
            <w:right w:val="none" w:sz="0" w:space="0" w:color="auto"/>
          </w:divBdr>
        </w:div>
      </w:divsChild>
    </w:div>
    <w:div w:id="42142608">
      <w:bodyDiv w:val="1"/>
      <w:marLeft w:val="0"/>
      <w:marRight w:val="0"/>
      <w:marTop w:val="0"/>
      <w:marBottom w:val="0"/>
      <w:divBdr>
        <w:top w:val="none" w:sz="0" w:space="0" w:color="auto"/>
        <w:left w:val="none" w:sz="0" w:space="0" w:color="auto"/>
        <w:bottom w:val="none" w:sz="0" w:space="0" w:color="auto"/>
        <w:right w:val="none" w:sz="0" w:space="0" w:color="auto"/>
      </w:divBdr>
    </w:div>
    <w:div w:id="163593434">
      <w:bodyDiv w:val="1"/>
      <w:marLeft w:val="0"/>
      <w:marRight w:val="0"/>
      <w:marTop w:val="0"/>
      <w:marBottom w:val="0"/>
      <w:divBdr>
        <w:top w:val="none" w:sz="0" w:space="0" w:color="auto"/>
        <w:left w:val="none" w:sz="0" w:space="0" w:color="auto"/>
        <w:bottom w:val="none" w:sz="0" w:space="0" w:color="auto"/>
        <w:right w:val="none" w:sz="0" w:space="0" w:color="auto"/>
      </w:divBdr>
    </w:div>
    <w:div w:id="1467771049">
      <w:bodyDiv w:val="1"/>
      <w:marLeft w:val="0"/>
      <w:marRight w:val="0"/>
      <w:marTop w:val="0"/>
      <w:marBottom w:val="0"/>
      <w:divBdr>
        <w:top w:val="none" w:sz="0" w:space="0" w:color="auto"/>
        <w:left w:val="none" w:sz="0" w:space="0" w:color="auto"/>
        <w:bottom w:val="none" w:sz="0" w:space="0" w:color="auto"/>
        <w:right w:val="none" w:sz="0" w:space="0" w:color="auto"/>
      </w:divBdr>
      <w:divsChild>
        <w:div w:id="745342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584</Words>
  <Characters>3214</Characters>
  <Application>Microsoft Office Word</Application>
  <DocSecurity>0</DocSecurity>
  <Lines>26</Lines>
  <Paragraphs>7</Paragraphs>
  <ScaleCrop>false</ScaleCrop>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Kattia Ivannia Villalobos Molina</dc:creator>
  <cp:keywords/>
  <dc:description/>
  <cp:lastModifiedBy>Kattia Ivannia Villalobos Molina</cp:lastModifiedBy>
  <cp:revision>1</cp:revision>
  <dcterms:created xsi:type="dcterms:W3CDTF">2025-03-26T01:32:00Z</dcterms:created>
  <dcterms:modified xsi:type="dcterms:W3CDTF">2025-03-26T01:44:00Z</dcterms:modified>
</cp:coreProperties>
</file>